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5A9B0" w14:textId="5344CEE5"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w:t>
      </w:r>
      <w:r w:rsidR="002A1710">
        <w:rPr>
          <w:rFonts w:ascii="Arial" w:hAnsi="Arial" w:cs="Arial"/>
          <w:b/>
          <w:bCs/>
          <w:sz w:val="28"/>
        </w:rPr>
        <w:t>8</w:t>
      </w:r>
      <w:r w:rsidR="000E14A5">
        <w:rPr>
          <w:rFonts w:ascii="Arial" w:hAnsi="Arial" w:cs="Arial"/>
          <w:b/>
          <w:bCs/>
          <w:sz w:val="28"/>
        </w:rPr>
        <w:t xml:space="preserve">                                   </w:t>
      </w:r>
      <w:r w:rsidR="000055DC">
        <w:rPr>
          <w:rFonts w:ascii="Arial" w:hAnsi="Arial" w:cs="Arial"/>
          <w:b/>
          <w:bCs/>
          <w:sz w:val="28"/>
        </w:rPr>
        <w:tab/>
      </w:r>
      <w:r w:rsidR="000E14A5">
        <w:rPr>
          <w:rFonts w:ascii="Arial" w:hAnsi="Arial" w:cs="Arial"/>
          <w:b/>
          <w:bCs/>
          <w:sz w:val="28"/>
        </w:rPr>
        <w:t xml:space="preserve">   </w:t>
      </w:r>
      <w:r w:rsidR="00253E06">
        <w:rPr>
          <w:rFonts w:ascii="Arial" w:hAnsi="Arial" w:cs="Arial"/>
          <w:b/>
          <w:bCs/>
          <w:sz w:val="28"/>
        </w:rPr>
        <w:t xml:space="preserve">     </w:t>
      </w:r>
      <w:r w:rsidR="00335B11" w:rsidRPr="00335B11">
        <w:rPr>
          <w:rFonts w:ascii="Arial" w:hAnsi="Arial" w:cs="Arial"/>
          <w:b/>
          <w:bCs/>
          <w:sz w:val="28"/>
        </w:rPr>
        <w:t>R1-</w:t>
      </w:r>
      <w:bookmarkStart w:id="2" w:name="_GoBack"/>
      <w:r w:rsidR="00C74069">
        <w:rPr>
          <w:rFonts w:ascii="Arial" w:hAnsi="Arial" w:cs="Arial"/>
          <w:b/>
          <w:bCs/>
          <w:sz w:val="28"/>
        </w:rPr>
        <w:t>1702541</w:t>
      </w:r>
      <w:bookmarkEnd w:id="2"/>
    </w:p>
    <w:p w14:paraId="1BE7CFDA" w14:textId="77777777" w:rsidR="002A1710" w:rsidRDefault="002A1710" w:rsidP="002A1710">
      <w:pPr>
        <w:tabs>
          <w:tab w:val="center" w:pos="4536"/>
          <w:tab w:val="right" w:pos="9072"/>
        </w:tabs>
        <w:jc w:val="left"/>
        <w:rPr>
          <w:rFonts w:ascii="Arial" w:hAnsi="Arial" w:cs="Arial"/>
          <w:b/>
          <w:bCs/>
          <w:kern w:val="0"/>
          <w:sz w:val="28"/>
        </w:rPr>
      </w:pPr>
      <w:r>
        <w:rPr>
          <w:rFonts w:ascii="Arial" w:hAnsi="Arial" w:cs="Arial"/>
          <w:b/>
          <w:bCs/>
          <w:kern w:val="0"/>
          <w:sz w:val="28"/>
        </w:rPr>
        <w:t>Athens, Greece, 13</w:t>
      </w:r>
      <w:r>
        <w:rPr>
          <w:rFonts w:ascii="Arial" w:hAnsi="Arial" w:cs="Arial"/>
          <w:b/>
          <w:bCs/>
          <w:kern w:val="0"/>
          <w:sz w:val="28"/>
          <w:vertAlign w:val="superscript"/>
        </w:rPr>
        <w:t>th</w:t>
      </w:r>
      <w:r>
        <w:rPr>
          <w:rFonts w:ascii="Arial" w:hAnsi="Arial" w:cs="Arial"/>
          <w:b/>
          <w:bCs/>
          <w:kern w:val="0"/>
          <w:sz w:val="28"/>
        </w:rPr>
        <w:t xml:space="preserve"> - 17</w:t>
      </w:r>
      <w:r>
        <w:rPr>
          <w:rFonts w:ascii="Arial" w:hAnsi="Arial" w:cs="Arial"/>
          <w:b/>
          <w:bCs/>
          <w:kern w:val="0"/>
          <w:sz w:val="28"/>
          <w:vertAlign w:val="superscript"/>
        </w:rPr>
        <w:t>th</w:t>
      </w:r>
      <w:r>
        <w:rPr>
          <w:rFonts w:ascii="Arial" w:hAnsi="Arial" w:cs="Arial"/>
          <w:b/>
          <w:bCs/>
          <w:kern w:val="0"/>
          <w:sz w:val="28"/>
        </w:rPr>
        <w:t xml:space="preserve"> February 2017</w:t>
      </w:r>
    </w:p>
    <w:p w14:paraId="46418894" w14:textId="0C67DD92" w:rsidR="000055DC" w:rsidRDefault="000055DC" w:rsidP="000055DC">
      <w:pPr>
        <w:tabs>
          <w:tab w:val="center" w:pos="4536"/>
          <w:tab w:val="right" w:pos="9072"/>
        </w:tabs>
        <w:jc w:val="left"/>
        <w:rPr>
          <w:rFonts w:ascii="Arial" w:hAnsi="Arial" w:cs="Arial"/>
          <w:b/>
          <w:bCs/>
          <w:kern w:val="0"/>
          <w:sz w:val="28"/>
        </w:rPr>
      </w:pP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6EF5AAEB"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C74069">
        <w:rPr>
          <w:rFonts w:ascii="Arial" w:hAnsi="Arial" w:cs="Arial"/>
          <w:snapToGrid w:val="0"/>
          <w:sz w:val="24"/>
        </w:rPr>
        <w:t>7</w:t>
      </w:r>
      <w:r w:rsidR="00335B11">
        <w:rPr>
          <w:rFonts w:ascii="Arial" w:hAnsi="Arial" w:cs="Arial"/>
          <w:snapToGrid w:val="0"/>
          <w:sz w:val="24"/>
        </w:rPr>
        <w:t>.2.</w:t>
      </w:r>
      <w:r w:rsidR="00C74069">
        <w:rPr>
          <w:rFonts w:ascii="Arial" w:hAnsi="Arial" w:cs="Arial"/>
          <w:snapToGrid w:val="0"/>
          <w:sz w:val="24"/>
        </w:rPr>
        <w:t>3</w:t>
      </w:r>
      <w:r>
        <w:rPr>
          <w:rFonts w:ascii="Arial" w:hAnsi="Arial" w:cs="Arial"/>
          <w:snapToGrid w:val="0"/>
          <w:sz w:val="24"/>
        </w:rPr>
        <w:t>.</w:t>
      </w:r>
      <w:r w:rsidR="00335B11">
        <w:rPr>
          <w:rFonts w:ascii="Arial" w:hAnsi="Arial" w:cs="Arial"/>
          <w:snapToGrid w:val="0"/>
          <w:sz w:val="24"/>
        </w:rPr>
        <w:t>1</w:t>
      </w:r>
      <w:r w:rsidR="00801A98">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7777777" w:rsidR="00335B11"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Support of HARQ-ACK bundling in HD-FDD</w:t>
      </w:r>
    </w:p>
    <w:p w14:paraId="62BEAD57" w14:textId="737004AB" w:rsidR="007560B7" w:rsidRPr="000F29F8"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EA7190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r w:rsidR="007D3D25">
        <w:rPr>
          <w:rFonts w:ascii="Times New Roman"/>
          <w:snapToGrid w:val="0"/>
          <w:kern w:val="0"/>
          <w:sz w:val="22"/>
          <w:szCs w:val="22"/>
          <w:lang w:val="en-GB"/>
        </w:rPr>
        <w:t xml:space="preserve"> HARQ-ACK bundling is one of the approaches being considered to achieve higher data rates.</w:t>
      </w:r>
    </w:p>
    <w:p w14:paraId="572EC5FB" w14:textId="61867605"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582F1AAA" w14:textId="1C0D8059" w:rsidR="00253E06" w:rsidRDefault="00253E06"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The following has been agreed for HARQ-ACK bund</w:t>
      </w:r>
      <w:r w:rsidR="00542490">
        <w:rPr>
          <w:rFonts w:ascii="Times New Roman"/>
          <w:snapToGrid w:val="0"/>
          <w:kern w:val="0"/>
          <w:sz w:val="22"/>
          <w:szCs w:val="22"/>
          <w:lang w:val="en-GB"/>
        </w:rPr>
        <w:t>l</w:t>
      </w:r>
      <w:r>
        <w:rPr>
          <w:rFonts w:ascii="Times New Roman"/>
          <w:snapToGrid w:val="0"/>
          <w:kern w:val="0"/>
          <w:sz w:val="22"/>
          <w:szCs w:val="22"/>
          <w:lang w:val="en-GB"/>
        </w:rPr>
        <w:t>ing.</w:t>
      </w:r>
    </w:p>
    <w:p w14:paraId="782DDED9" w14:textId="72F09759"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HARQ-ACK bundling is supported in CE Mode A in HD-FDD.</w:t>
      </w:r>
    </w:p>
    <w:p w14:paraId="12CB20D9" w14:textId="62769659"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HARQ-ACK bundling is not supported in CE Mode B.</w:t>
      </w:r>
    </w:p>
    <w:p w14:paraId="27263EA1" w14:textId="0C84F7FD" w:rsidR="00253E06" w:rsidRPr="00253E06" w:rsidRDefault="00253E06" w:rsidP="00253E06">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One or multiple HARQ-ACK bundles can be supported for PDSCH scheduling before switching to UL.</w:t>
      </w:r>
    </w:p>
    <w:p w14:paraId="013D6F66" w14:textId="47B8BDB2" w:rsidR="00253E06" w:rsidRPr="00253E06" w:rsidRDefault="00253E06" w:rsidP="006B416F">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HARQ-ACK bundle size is defined as the number of PDSCH transmissions (corresponding to different HARQ processes) with a joint HARQ-ACK feedback.</w:t>
      </w:r>
    </w:p>
    <w:p w14:paraId="2CE75C6B" w14:textId="0F200094" w:rsidR="00253E06" w:rsidRPr="00253E06" w:rsidRDefault="00253E06" w:rsidP="006B416F">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253E06">
        <w:rPr>
          <w:rFonts w:ascii="Times New Roman"/>
          <w:snapToGrid w:val="0"/>
          <w:sz w:val="22"/>
          <w:szCs w:val="22"/>
          <w:lang w:val="en-GB"/>
        </w:rPr>
        <w:t>The maximum HARQ-ACK bundle size is 4.</w:t>
      </w:r>
    </w:p>
    <w:p w14:paraId="47DC2613" w14:textId="77777777" w:rsidR="006B416F" w:rsidRPr="006B416F" w:rsidRDefault="006B416F" w:rsidP="006B416F">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6B416F">
        <w:rPr>
          <w:rFonts w:ascii="Times New Roman"/>
          <w:snapToGrid w:val="0"/>
          <w:sz w:val="22"/>
          <w:szCs w:val="22"/>
          <w:lang w:val="en-GB"/>
        </w:rPr>
        <w:t xml:space="preserve">When HARQ-ACK bundling is RRC configured, non-bundled transmission is still possible, where the repetition numbers of the different channels are used in the same way as in Rel-13 eMTC. </w:t>
      </w:r>
    </w:p>
    <w:p w14:paraId="14C5ECF4" w14:textId="3BD4718A" w:rsidR="006B416F" w:rsidRPr="001856BD" w:rsidRDefault="006B416F" w:rsidP="001856BD">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6B416F">
        <w:rPr>
          <w:rFonts w:ascii="Times New Roman"/>
          <w:snapToGrid w:val="0"/>
          <w:sz w:val="22"/>
          <w:szCs w:val="22"/>
          <w:lang w:val="en-GB"/>
        </w:rPr>
        <w:t>At least in non-repetition case, the maximum number of HARQ-ACK bundles before switching to UL is 3.</w:t>
      </w:r>
    </w:p>
    <w:p w14:paraId="08200AE9" w14:textId="77777777" w:rsidR="006B416F" w:rsidRPr="006B416F" w:rsidRDefault="006B416F" w:rsidP="006B416F">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6B416F">
        <w:rPr>
          <w:rFonts w:ascii="Times New Roman"/>
          <w:snapToGrid w:val="0"/>
          <w:sz w:val="22"/>
          <w:szCs w:val="22"/>
          <w:lang w:val="en-GB"/>
        </w:rPr>
        <w:t>The maximum number of PDSCH TBs in all bundles before switching to UL is 10.</w:t>
      </w:r>
    </w:p>
    <w:p w14:paraId="504F3DF2" w14:textId="77777777" w:rsidR="006B416F" w:rsidRPr="006B416F" w:rsidRDefault="006B416F" w:rsidP="006B416F">
      <w:pPr>
        <w:pStyle w:val="ListParagraph"/>
        <w:numPr>
          <w:ilvl w:val="0"/>
          <w:numId w:val="9"/>
        </w:numPr>
        <w:overflowPunct w:val="0"/>
        <w:adjustRightInd w:val="0"/>
        <w:spacing w:after="120"/>
        <w:ind w:leftChars="0"/>
        <w:contextualSpacing/>
        <w:textAlignment w:val="baseline"/>
        <w:rPr>
          <w:rFonts w:ascii="Times New Roman"/>
          <w:snapToGrid w:val="0"/>
          <w:sz w:val="22"/>
          <w:szCs w:val="22"/>
          <w:lang w:val="en-GB"/>
        </w:rPr>
      </w:pPr>
      <w:r w:rsidRPr="006B416F">
        <w:rPr>
          <w:rFonts w:ascii="Times New Roman"/>
          <w:snapToGrid w:val="0"/>
          <w:sz w:val="22"/>
          <w:szCs w:val="22"/>
          <w:lang w:val="en-GB"/>
        </w:rPr>
        <w:t>The switch time between DL and UL is FFS between:</w:t>
      </w:r>
    </w:p>
    <w:p w14:paraId="0B085AB0" w14:textId="77777777" w:rsidR="006B416F" w:rsidRPr="001856BD" w:rsidRDefault="006B416F" w:rsidP="001856BD">
      <w:pPr>
        <w:pStyle w:val="ListParagraph"/>
        <w:numPr>
          <w:ilvl w:val="1"/>
          <w:numId w:val="9"/>
        </w:numPr>
        <w:overflowPunct w:val="0"/>
        <w:adjustRightInd w:val="0"/>
        <w:spacing w:after="120"/>
        <w:ind w:leftChars="0"/>
        <w:contextualSpacing/>
        <w:textAlignment w:val="baseline"/>
        <w:rPr>
          <w:rFonts w:ascii="Times New Roman"/>
          <w:snapToGrid w:val="0"/>
          <w:sz w:val="22"/>
          <w:szCs w:val="22"/>
          <w:lang w:val="en-GB"/>
        </w:rPr>
      </w:pPr>
      <w:r w:rsidRPr="001856BD">
        <w:rPr>
          <w:rFonts w:ascii="Times New Roman"/>
          <w:snapToGrid w:val="0"/>
          <w:sz w:val="22"/>
          <w:szCs w:val="22"/>
          <w:lang w:val="en-GB"/>
        </w:rPr>
        <w:t>Indicated in the DCI</w:t>
      </w:r>
    </w:p>
    <w:p w14:paraId="77AE0348" w14:textId="58524067" w:rsidR="006B416F" w:rsidRPr="001856BD" w:rsidRDefault="006B416F" w:rsidP="001856BD">
      <w:pPr>
        <w:pStyle w:val="ListParagraph"/>
        <w:numPr>
          <w:ilvl w:val="1"/>
          <w:numId w:val="9"/>
        </w:numPr>
        <w:overflowPunct w:val="0"/>
        <w:adjustRightInd w:val="0"/>
        <w:spacing w:after="120"/>
        <w:ind w:leftChars="0"/>
        <w:contextualSpacing/>
        <w:textAlignment w:val="baseline"/>
        <w:rPr>
          <w:rFonts w:ascii="Times New Roman"/>
          <w:snapToGrid w:val="0"/>
          <w:sz w:val="22"/>
          <w:szCs w:val="22"/>
          <w:lang w:val="en-GB"/>
        </w:rPr>
      </w:pPr>
      <w:r w:rsidRPr="001856BD">
        <w:rPr>
          <w:rFonts w:ascii="Times New Roman"/>
          <w:snapToGrid w:val="0"/>
          <w:sz w:val="22"/>
          <w:szCs w:val="22"/>
          <w:lang w:val="en-GB"/>
        </w:rPr>
        <w:t>Implicitly based on the specification</w:t>
      </w:r>
    </w:p>
    <w:p w14:paraId="1290F600" w14:textId="4652F5D7" w:rsidR="004B2A74" w:rsidRDefault="004B2A74" w:rsidP="006B416F">
      <w:pPr>
        <w:pStyle w:val="ListParagraph"/>
        <w:numPr>
          <w:ilvl w:val="0"/>
          <w:numId w:val="9"/>
        </w:numPr>
        <w:overflowPunct w:val="0"/>
        <w:adjustRightInd w:val="0"/>
        <w:spacing w:after="120"/>
        <w:ind w:leftChars="0"/>
        <w:contextualSpacing/>
        <w:textAlignment w:val="baseline"/>
        <w:rPr>
          <w:rFonts w:ascii="Times" w:eastAsia="MS Mincho"/>
          <w:lang w:eastAsia="ja-JP"/>
        </w:rPr>
      </w:pPr>
      <w:r w:rsidRPr="006B416F">
        <w:rPr>
          <w:rFonts w:ascii="Times New Roman"/>
          <w:snapToGrid w:val="0"/>
          <w:sz w:val="22"/>
          <w:szCs w:val="22"/>
          <w:lang w:val="en-GB"/>
        </w:rPr>
        <w:t>If repetition is used for M-PDCCH or PDSCH, HARQ-ACK bundling is not used</w:t>
      </w:r>
    </w:p>
    <w:p w14:paraId="4AF8E9B7" w14:textId="453D646E"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50693F">
        <w:rPr>
          <w:rFonts w:ascii="Times New Roman"/>
          <w:snapToGrid w:val="0"/>
          <w:kern w:val="0"/>
          <w:sz w:val="22"/>
          <w:szCs w:val="22"/>
          <w:lang w:val="en-GB"/>
        </w:rPr>
        <w:t xml:space="preserve">HARQ-ACK bundling in </w:t>
      </w:r>
      <w:r w:rsidR="00777065">
        <w:rPr>
          <w:rFonts w:ascii="Times New Roman"/>
          <w:snapToGrid w:val="0"/>
          <w:kern w:val="0"/>
          <w:sz w:val="22"/>
          <w:szCs w:val="22"/>
          <w:lang w:val="en-GB"/>
        </w:rPr>
        <w:t>eMTC UEs</w:t>
      </w:r>
      <w:r w:rsidR="00A33FC8">
        <w:rPr>
          <w:rFonts w:ascii="Times New Roman"/>
          <w:snapToGrid w:val="0"/>
          <w:kern w:val="0"/>
          <w:sz w:val="22"/>
          <w:szCs w:val="22"/>
          <w:lang w:val="en-GB"/>
        </w:rPr>
        <w:t>.</w:t>
      </w:r>
    </w:p>
    <w:p w14:paraId="225AC796" w14:textId="77777777" w:rsidR="00D57529" w:rsidRDefault="00D57529" w:rsidP="00D57529">
      <w:pPr>
        <w:pStyle w:val="LGTdoc0"/>
        <w:spacing w:afterLines="0" w:after="120" w:line="240" w:lineRule="auto"/>
        <w:ind w:left="792"/>
        <w:rPr>
          <w:szCs w:val="22"/>
        </w:rPr>
      </w:pPr>
    </w:p>
    <w:p w14:paraId="0DD87E91" w14:textId="0BA4223A"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Mechanisms to enable </w:t>
      </w:r>
      <w:r w:rsidR="0050693F">
        <w:rPr>
          <w:rFonts w:ascii="Arial" w:hAnsi="Arial" w:cs="Arial"/>
          <w:lang w:val="en-US"/>
        </w:rPr>
        <w:t>HARQ-ACK bundling in HD-FDD</w:t>
      </w:r>
    </w:p>
    <w:bookmarkEnd w:id="0"/>
    <w:bookmarkEnd w:id="1"/>
    <w:p w14:paraId="46C94B54" w14:textId="77777777" w:rsidR="00704D0F" w:rsidRDefault="00704D0F" w:rsidP="00704D0F">
      <w:pPr>
        <w:pStyle w:val="LGTdoc1"/>
        <w:spacing w:beforeLines="0" w:before="120" w:after="220" w:afterAutospacing="0"/>
        <w:rPr>
          <w:b w:val="0"/>
          <w:sz w:val="22"/>
          <w:szCs w:val="22"/>
        </w:rPr>
      </w:pPr>
      <w:r>
        <w:rPr>
          <w:b w:val="0"/>
          <w:sz w:val="22"/>
          <w:szCs w:val="22"/>
        </w:rPr>
        <w:t>With Rel-13 eMTC, the peak data rate of HD-FDD UE is largely limited by the timeline relationships and HD guard subframe. The maximum data rate is 300kbps, as 1 radio frame can contain 3 PDSCH subframes, 3 PUCCH subframes, 2 HD guard subframes and two non-PDSCH subframes due to cross-subframe scheduling. The data rate can be readily increased to 500kbps if the HARQ-ACK for the PDSCH can be multiplexed in a single subframe (instead of 3).</w:t>
      </w:r>
    </w:p>
    <w:p w14:paraId="714491DE" w14:textId="4B511042" w:rsidR="006579FD" w:rsidRDefault="006579FD" w:rsidP="006579FD">
      <w:pPr>
        <w:pStyle w:val="LGTdoc1"/>
        <w:spacing w:beforeLines="0" w:before="120" w:after="220" w:afterAutospacing="0"/>
        <w:rPr>
          <w:b w:val="0"/>
          <w:sz w:val="22"/>
          <w:szCs w:val="22"/>
        </w:rPr>
      </w:pPr>
      <w:r>
        <w:rPr>
          <w:b w:val="0"/>
          <w:sz w:val="22"/>
          <w:szCs w:val="22"/>
        </w:rPr>
        <w:t xml:space="preserve">The ACK bundling design should be robust to </w:t>
      </w:r>
      <w:r w:rsidR="00631CCE">
        <w:rPr>
          <w:b w:val="0"/>
          <w:sz w:val="22"/>
          <w:szCs w:val="22"/>
        </w:rPr>
        <w:t>M</w:t>
      </w:r>
      <w:r>
        <w:rPr>
          <w:b w:val="0"/>
          <w:sz w:val="22"/>
          <w:szCs w:val="22"/>
        </w:rPr>
        <w:t>PDCCH erasures. Specifically</w:t>
      </w:r>
      <w:r w:rsidR="00542490">
        <w:rPr>
          <w:b w:val="0"/>
          <w:sz w:val="22"/>
          <w:szCs w:val="22"/>
        </w:rPr>
        <w:t>,</w:t>
      </w:r>
      <w:r>
        <w:rPr>
          <w:b w:val="0"/>
          <w:sz w:val="22"/>
          <w:szCs w:val="22"/>
        </w:rPr>
        <w:t xml:space="preserve"> it should ensure that when an ACK/NACK corresponds to a group of bundled PDSCHs is sent, it should only be an ACK if all the PDSCH in the bundle are decoded successfully. Even if one of the </w:t>
      </w:r>
      <w:r w:rsidR="00631CCE">
        <w:rPr>
          <w:b w:val="0"/>
          <w:sz w:val="22"/>
          <w:szCs w:val="22"/>
        </w:rPr>
        <w:t>M</w:t>
      </w:r>
      <w:r>
        <w:rPr>
          <w:b w:val="0"/>
          <w:sz w:val="22"/>
          <w:szCs w:val="22"/>
        </w:rPr>
        <w:t>PDCCH corresponding to these bundled PDSCH is an erasure (not detected) a NACK should be sent.</w:t>
      </w:r>
    </w:p>
    <w:p w14:paraId="66BEA5C8" w14:textId="570749C9" w:rsidR="00704D0F" w:rsidRPr="00A75C4D" w:rsidRDefault="00704D0F" w:rsidP="00704D0F">
      <w:pPr>
        <w:pStyle w:val="LGTdoc1"/>
        <w:spacing w:beforeLines="0" w:before="120" w:after="220" w:afterAutospacing="0"/>
        <w:rPr>
          <w:sz w:val="22"/>
          <w:szCs w:val="22"/>
        </w:rPr>
      </w:pPr>
      <w:r w:rsidRPr="00A75C4D">
        <w:rPr>
          <w:sz w:val="22"/>
          <w:szCs w:val="22"/>
          <w:u w:val="single"/>
        </w:rPr>
        <w:t>Proposal 1:</w:t>
      </w:r>
      <w:r w:rsidRPr="00A75C4D">
        <w:rPr>
          <w:sz w:val="22"/>
          <w:szCs w:val="22"/>
        </w:rPr>
        <w:t xml:space="preserve"> UE should send ACK only when all PDSCH corresponding to a bundle are decoded. </w:t>
      </w:r>
      <w:r w:rsidR="00631CCE">
        <w:rPr>
          <w:sz w:val="22"/>
          <w:szCs w:val="22"/>
        </w:rPr>
        <w:t>M</w:t>
      </w:r>
      <w:r w:rsidRPr="00A75C4D">
        <w:rPr>
          <w:sz w:val="22"/>
          <w:szCs w:val="22"/>
        </w:rPr>
        <w:t xml:space="preserve">PDCCH erasure </w:t>
      </w:r>
      <w:r w:rsidR="00A75C4D">
        <w:rPr>
          <w:sz w:val="22"/>
          <w:szCs w:val="22"/>
        </w:rPr>
        <w:t xml:space="preserve">within a bundle </w:t>
      </w:r>
      <w:r w:rsidRPr="00A75C4D">
        <w:rPr>
          <w:sz w:val="22"/>
          <w:szCs w:val="22"/>
        </w:rPr>
        <w:t>should lead to a NACK</w:t>
      </w:r>
      <w:r w:rsidR="00A75C4D">
        <w:rPr>
          <w:sz w:val="22"/>
          <w:szCs w:val="22"/>
        </w:rPr>
        <w:t>.</w:t>
      </w:r>
    </w:p>
    <w:p w14:paraId="05702EE4" w14:textId="18410AAD" w:rsidR="006579FD" w:rsidRDefault="006579FD" w:rsidP="006579FD">
      <w:pPr>
        <w:pStyle w:val="LGTdoc1"/>
        <w:spacing w:beforeLines="0" w:before="120" w:after="220" w:afterAutospacing="0"/>
        <w:rPr>
          <w:b w:val="0"/>
          <w:sz w:val="22"/>
          <w:szCs w:val="22"/>
        </w:rPr>
      </w:pPr>
      <w:r>
        <w:rPr>
          <w:b w:val="0"/>
          <w:sz w:val="22"/>
          <w:szCs w:val="22"/>
        </w:rPr>
        <w:lastRenderedPageBreak/>
        <w:t xml:space="preserve">The ACK bundling design should give eNB sufficient scheduling </w:t>
      </w:r>
      <w:r w:rsidR="005B3973">
        <w:rPr>
          <w:b w:val="0"/>
          <w:sz w:val="22"/>
          <w:szCs w:val="22"/>
        </w:rPr>
        <w:t>flexibility</w:t>
      </w:r>
      <w:r>
        <w:rPr>
          <w:b w:val="0"/>
          <w:sz w:val="22"/>
          <w:szCs w:val="22"/>
        </w:rPr>
        <w:t xml:space="preserve">. For example it should not enforce PDSCH transmission on every subframe. </w:t>
      </w:r>
    </w:p>
    <w:p w14:paraId="5E5D9E63" w14:textId="63B4D260" w:rsidR="00704D0F" w:rsidRPr="00704D0F" w:rsidRDefault="006579FD" w:rsidP="0050693F">
      <w:pPr>
        <w:pStyle w:val="LGTdoc1"/>
        <w:spacing w:beforeLines="0" w:before="120" w:after="220" w:afterAutospacing="0"/>
        <w:rPr>
          <w:b w:val="0"/>
          <w:sz w:val="22"/>
          <w:szCs w:val="22"/>
        </w:rPr>
      </w:pPr>
      <w:r>
        <w:rPr>
          <w:b w:val="0"/>
          <w:sz w:val="22"/>
          <w:szCs w:val="22"/>
        </w:rPr>
        <w:t xml:space="preserve">Although the main use cases for ACK bundling involve cases without repetition, the design should </w:t>
      </w:r>
      <w:r w:rsidR="007D3D25">
        <w:rPr>
          <w:b w:val="0"/>
          <w:sz w:val="22"/>
          <w:szCs w:val="22"/>
        </w:rPr>
        <w:t>be scalable to cases with</w:t>
      </w:r>
      <w:r>
        <w:rPr>
          <w:b w:val="0"/>
          <w:sz w:val="22"/>
          <w:szCs w:val="22"/>
        </w:rPr>
        <w:t xml:space="preserve"> small repetitions</w:t>
      </w:r>
      <w:r w:rsidR="007D3D25">
        <w:rPr>
          <w:b w:val="0"/>
          <w:sz w:val="22"/>
          <w:szCs w:val="22"/>
        </w:rPr>
        <w:t xml:space="preserve"> in case such support is needed in future</w:t>
      </w:r>
      <w:r>
        <w:rPr>
          <w:b w:val="0"/>
          <w:sz w:val="22"/>
          <w:szCs w:val="22"/>
        </w:rPr>
        <w:t>.</w:t>
      </w:r>
      <w:r w:rsidR="007D3D25">
        <w:rPr>
          <w:b w:val="0"/>
          <w:sz w:val="22"/>
          <w:szCs w:val="22"/>
        </w:rPr>
        <w:t xml:space="preserve"> Note that there is already an agreement to not support ACK bundling in cases with MPDCCH/PDSCH repetitions. Some increases in DCI size should be acceptable for these cases as this mainly targets high SNR cases.</w:t>
      </w:r>
      <w:r>
        <w:rPr>
          <w:b w:val="0"/>
          <w:sz w:val="22"/>
          <w:szCs w:val="22"/>
        </w:rPr>
        <w:t xml:space="preserve"> </w:t>
      </w:r>
    </w:p>
    <w:p w14:paraId="3AEAD33B" w14:textId="60F28562" w:rsidR="00704D0F" w:rsidRDefault="00542490" w:rsidP="0050693F">
      <w:pPr>
        <w:pStyle w:val="LGTdoc1"/>
        <w:spacing w:beforeLines="0" w:before="120" w:after="220" w:afterAutospacing="0"/>
        <w:rPr>
          <w:b w:val="0"/>
          <w:sz w:val="22"/>
          <w:szCs w:val="22"/>
        </w:rPr>
      </w:pPr>
      <w:r>
        <w:rPr>
          <w:b w:val="0"/>
          <w:sz w:val="22"/>
          <w:szCs w:val="22"/>
        </w:rPr>
        <w:t>With the above design guidelines in mind, w</w:t>
      </w:r>
      <w:r w:rsidR="00704D0F">
        <w:rPr>
          <w:b w:val="0"/>
          <w:sz w:val="22"/>
          <w:szCs w:val="22"/>
        </w:rPr>
        <w:t>e propose to add the following fields to the DCI to enable ACK bundling</w:t>
      </w:r>
    </w:p>
    <w:p w14:paraId="537917EE" w14:textId="4BA8292E" w:rsidR="00704D0F" w:rsidRDefault="00704D0F" w:rsidP="00704D0F">
      <w:pPr>
        <w:pStyle w:val="LGTdoc1"/>
        <w:numPr>
          <w:ilvl w:val="0"/>
          <w:numId w:val="12"/>
        </w:numPr>
        <w:spacing w:beforeLines="0" w:before="120" w:after="220" w:afterAutospacing="0"/>
        <w:rPr>
          <w:b w:val="0"/>
          <w:sz w:val="22"/>
          <w:szCs w:val="22"/>
        </w:rPr>
      </w:pPr>
      <w:r>
        <w:rPr>
          <w:b w:val="0"/>
          <w:sz w:val="22"/>
          <w:szCs w:val="22"/>
        </w:rPr>
        <w:t xml:space="preserve">Number of PDSCH in the bundle (N) {1,2,3,4} </w:t>
      </w:r>
    </w:p>
    <w:p w14:paraId="7A18DEDC" w14:textId="78E8DAC2" w:rsidR="00704D0F" w:rsidRDefault="00704D0F" w:rsidP="00704D0F">
      <w:pPr>
        <w:pStyle w:val="LGTdoc1"/>
        <w:numPr>
          <w:ilvl w:val="0"/>
          <w:numId w:val="12"/>
        </w:numPr>
        <w:spacing w:beforeLines="0" w:before="120" w:after="220" w:afterAutospacing="0"/>
        <w:rPr>
          <w:b w:val="0"/>
          <w:sz w:val="22"/>
          <w:szCs w:val="22"/>
        </w:rPr>
      </w:pPr>
      <w:r>
        <w:rPr>
          <w:b w:val="0"/>
          <w:sz w:val="22"/>
          <w:szCs w:val="22"/>
        </w:rPr>
        <w:t>ACK delay indicator (D)</w:t>
      </w:r>
    </w:p>
    <w:p w14:paraId="7F081E6E" w14:textId="279113ED" w:rsidR="00704D0F" w:rsidRDefault="00704D0F" w:rsidP="00704D0F">
      <w:pPr>
        <w:pStyle w:val="LGTdoc1"/>
        <w:numPr>
          <w:ilvl w:val="1"/>
          <w:numId w:val="12"/>
        </w:numPr>
        <w:spacing w:beforeLines="0" w:before="120" w:after="220" w:afterAutospacing="0"/>
        <w:rPr>
          <w:b w:val="0"/>
          <w:sz w:val="22"/>
          <w:szCs w:val="22"/>
        </w:rPr>
      </w:pPr>
      <w:r>
        <w:rPr>
          <w:b w:val="0"/>
          <w:sz w:val="22"/>
          <w:szCs w:val="22"/>
        </w:rPr>
        <w:t>Option 1: 3 bits {4,5,6,7,8,9,10,11}</w:t>
      </w:r>
    </w:p>
    <w:p w14:paraId="03B641DE" w14:textId="592F3BFA" w:rsidR="00704D0F" w:rsidRDefault="00704D0F" w:rsidP="00704D0F">
      <w:pPr>
        <w:pStyle w:val="LGTdoc1"/>
        <w:numPr>
          <w:ilvl w:val="1"/>
          <w:numId w:val="12"/>
        </w:numPr>
        <w:spacing w:beforeLines="0" w:before="120" w:after="220" w:afterAutospacing="0"/>
        <w:rPr>
          <w:b w:val="0"/>
          <w:sz w:val="22"/>
          <w:szCs w:val="22"/>
        </w:rPr>
      </w:pPr>
      <w:r>
        <w:rPr>
          <w:b w:val="0"/>
          <w:sz w:val="22"/>
          <w:szCs w:val="22"/>
        </w:rPr>
        <w:t xml:space="preserve">Option 2 : 2 bits {4,6,8,10} which specifies the minimum delay </w:t>
      </w:r>
    </w:p>
    <w:p w14:paraId="5F93E588" w14:textId="2224217F" w:rsidR="00704D0F" w:rsidRDefault="00704D0F" w:rsidP="0050693F">
      <w:pPr>
        <w:pStyle w:val="LGTdoc1"/>
        <w:spacing w:beforeLines="0" w:before="120" w:after="220" w:afterAutospacing="0"/>
        <w:rPr>
          <w:b w:val="0"/>
          <w:sz w:val="22"/>
          <w:szCs w:val="22"/>
        </w:rPr>
      </w:pPr>
      <w:r>
        <w:rPr>
          <w:b w:val="0"/>
          <w:sz w:val="22"/>
          <w:szCs w:val="22"/>
        </w:rPr>
        <w:t xml:space="preserve">With option 1 UE will transmit ACK corresponding to PDSCH </w:t>
      </w:r>
      <w:r w:rsidR="00631CCE">
        <w:rPr>
          <w:b w:val="0"/>
          <w:sz w:val="22"/>
          <w:szCs w:val="22"/>
        </w:rPr>
        <w:t xml:space="preserve">ending </w:t>
      </w:r>
      <w:r>
        <w:rPr>
          <w:b w:val="0"/>
          <w:sz w:val="22"/>
          <w:szCs w:val="22"/>
        </w:rPr>
        <w:t>on subframe X at subframe X+D. However</w:t>
      </w:r>
      <w:r w:rsidR="00542490">
        <w:rPr>
          <w:b w:val="0"/>
          <w:sz w:val="22"/>
          <w:szCs w:val="22"/>
        </w:rPr>
        <w:t>,</w:t>
      </w:r>
      <w:r>
        <w:rPr>
          <w:b w:val="0"/>
          <w:sz w:val="22"/>
          <w:szCs w:val="22"/>
        </w:rPr>
        <w:t xml:space="preserve"> it will transmit ACK on subframe X+D </w:t>
      </w:r>
      <w:r w:rsidR="00631CCE">
        <w:rPr>
          <w:b w:val="0"/>
          <w:sz w:val="22"/>
          <w:szCs w:val="22"/>
        </w:rPr>
        <w:t xml:space="preserve">only </w:t>
      </w:r>
      <w:r>
        <w:rPr>
          <w:b w:val="0"/>
          <w:sz w:val="22"/>
          <w:szCs w:val="22"/>
        </w:rPr>
        <w:t xml:space="preserve">if corresponding to this subframe it </w:t>
      </w:r>
      <w:r w:rsidR="00A75C4D">
        <w:rPr>
          <w:b w:val="0"/>
          <w:sz w:val="22"/>
          <w:szCs w:val="22"/>
        </w:rPr>
        <w:t>detected</w:t>
      </w:r>
      <w:r>
        <w:rPr>
          <w:b w:val="0"/>
          <w:sz w:val="22"/>
          <w:szCs w:val="22"/>
        </w:rPr>
        <w:t xml:space="preserve"> all N </w:t>
      </w:r>
      <w:r w:rsidR="00631CCE">
        <w:rPr>
          <w:b w:val="0"/>
          <w:sz w:val="22"/>
          <w:szCs w:val="22"/>
        </w:rPr>
        <w:t>M</w:t>
      </w:r>
      <w:r w:rsidR="00A75C4D">
        <w:rPr>
          <w:b w:val="0"/>
          <w:sz w:val="22"/>
          <w:szCs w:val="22"/>
        </w:rPr>
        <w:t xml:space="preserve">PDCCHs in the bundle and decoded corresponding </w:t>
      </w:r>
      <w:r>
        <w:rPr>
          <w:b w:val="0"/>
          <w:sz w:val="22"/>
          <w:szCs w:val="22"/>
        </w:rPr>
        <w:t>PDSCH</w:t>
      </w:r>
      <w:r w:rsidR="00A75C4D">
        <w:rPr>
          <w:b w:val="0"/>
          <w:sz w:val="22"/>
          <w:szCs w:val="22"/>
        </w:rPr>
        <w:t>. It will transmit NACK otherwise</w:t>
      </w:r>
      <w:r w:rsidR="008A6F71">
        <w:rPr>
          <w:b w:val="0"/>
          <w:sz w:val="22"/>
          <w:szCs w:val="22"/>
        </w:rPr>
        <w:t xml:space="preserve"> if it detects even one </w:t>
      </w:r>
      <w:r w:rsidR="00631CCE">
        <w:rPr>
          <w:b w:val="0"/>
          <w:sz w:val="22"/>
          <w:szCs w:val="22"/>
        </w:rPr>
        <w:t>corresponding M</w:t>
      </w:r>
      <w:r w:rsidR="008A6F71">
        <w:rPr>
          <w:b w:val="0"/>
          <w:sz w:val="22"/>
          <w:szCs w:val="22"/>
        </w:rPr>
        <w:t>PDCCH</w:t>
      </w:r>
      <w:r w:rsidR="00A75C4D">
        <w:rPr>
          <w:b w:val="0"/>
          <w:sz w:val="22"/>
          <w:szCs w:val="22"/>
        </w:rPr>
        <w:t>.</w:t>
      </w:r>
      <w:r w:rsidR="00DF3A3D">
        <w:rPr>
          <w:b w:val="0"/>
          <w:sz w:val="22"/>
          <w:szCs w:val="22"/>
        </w:rPr>
        <w:t xml:space="preserve"> It will of course not transmit ACK or NACK if all MPDCCHs aren’t detected.</w:t>
      </w:r>
    </w:p>
    <w:p w14:paraId="041CBF83" w14:textId="665BEE4F" w:rsidR="00704D0F" w:rsidRDefault="00704D0F" w:rsidP="0050693F">
      <w:pPr>
        <w:pStyle w:val="LGTdoc1"/>
        <w:spacing w:beforeLines="0" w:before="120" w:after="220" w:afterAutospacing="0"/>
        <w:rPr>
          <w:b w:val="0"/>
          <w:sz w:val="22"/>
          <w:szCs w:val="22"/>
        </w:rPr>
      </w:pPr>
      <w:r>
        <w:rPr>
          <w:b w:val="0"/>
          <w:sz w:val="22"/>
          <w:szCs w:val="22"/>
        </w:rPr>
        <w:t>With option2 UE will try hypothesis of X+</w:t>
      </w:r>
      <w:proofErr w:type="gramStart"/>
      <w:r>
        <w:rPr>
          <w:b w:val="0"/>
          <w:sz w:val="22"/>
          <w:szCs w:val="22"/>
        </w:rPr>
        <w:t>D,X</w:t>
      </w:r>
      <w:proofErr w:type="gramEnd"/>
      <w:r>
        <w:rPr>
          <w:b w:val="0"/>
          <w:sz w:val="22"/>
          <w:szCs w:val="22"/>
        </w:rPr>
        <w:t>+D+1 for the ACK subframe</w:t>
      </w:r>
      <w:r w:rsidR="008A6F71">
        <w:rPr>
          <w:b w:val="0"/>
          <w:sz w:val="22"/>
          <w:szCs w:val="22"/>
        </w:rPr>
        <w:t xml:space="preserve"> for PDSCH</w:t>
      </w:r>
      <w:r w:rsidR="00631CCE">
        <w:rPr>
          <w:b w:val="0"/>
          <w:sz w:val="22"/>
          <w:szCs w:val="22"/>
        </w:rPr>
        <w:t xml:space="preserve"> ending</w:t>
      </w:r>
      <w:r w:rsidR="008A6F71">
        <w:rPr>
          <w:b w:val="0"/>
          <w:sz w:val="22"/>
          <w:szCs w:val="22"/>
        </w:rPr>
        <w:t xml:space="preserve"> at subframe X</w:t>
      </w:r>
      <w:r>
        <w:rPr>
          <w:b w:val="0"/>
          <w:sz w:val="22"/>
          <w:szCs w:val="22"/>
        </w:rPr>
        <w:t xml:space="preserve"> and count the number of </w:t>
      </w:r>
      <w:r w:rsidR="00631CCE">
        <w:rPr>
          <w:b w:val="0"/>
          <w:sz w:val="22"/>
          <w:szCs w:val="22"/>
        </w:rPr>
        <w:t>M</w:t>
      </w:r>
      <w:r w:rsidR="00A75C4D">
        <w:rPr>
          <w:b w:val="0"/>
          <w:sz w:val="22"/>
          <w:szCs w:val="22"/>
        </w:rPr>
        <w:t>PDCCH/</w:t>
      </w:r>
      <w:r>
        <w:rPr>
          <w:b w:val="0"/>
          <w:sz w:val="22"/>
          <w:szCs w:val="22"/>
        </w:rPr>
        <w:t>PDSCH it finds corresponding to these two subframe. It will pick the smaller of the two subframes that also matches the number of PDSCH in bundle criteria.</w:t>
      </w:r>
      <w:r w:rsidR="00A75C4D">
        <w:rPr>
          <w:b w:val="0"/>
          <w:sz w:val="22"/>
          <w:szCs w:val="22"/>
        </w:rPr>
        <w:t xml:space="preserve"> This option saves a bit compared to previous option but imposes certain scheduling restrictions on the eNB. In case the number of detected </w:t>
      </w:r>
      <w:r w:rsidR="00631CCE">
        <w:rPr>
          <w:b w:val="0"/>
          <w:sz w:val="22"/>
          <w:szCs w:val="22"/>
        </w:rPr>
        <w:t>M</w:t>
      </w:r>
      <w:r w:rsidR="00A75C4D">
        <w:rPr>
          <w:b w:val="0"/>
          <w:sz w:val="22"/>
          <w:szCs w:val="22"/>
        </w:rPr>
        <w:t xml:space="preserve">PDCCHs don’t match (i.e., is not N) it may transmit NACK on these subframes if it is able to reliably determine the </w:t>
      </w:r>
      <w:r w:rsidR="00DF3A3D">
        <w:rPr>
          <w:b w:val="0"/>
          <w:sz w:val="22"/>
          <w:szCs w:val="22"/>
        </w:rPr>
        <w:t xml:space="preserve">UL ACK </w:t>
      </w:r>
      <w:r w:rsidR="00A75C4D">
        <w:rPr>
          <w:b w:val="0"/>
          <w:sz w:val="22"/>
          <w:szCs w:val="22"/>
        </w:rPr>
        <w:t>subframe. It may puncture the ACK/NACK otherwise.</w:t>
      </w:r>
    </w:p>
    <w:p w14:paraId="287C03A2" w14:textId="382D95E6" w:rsidR="00A75C4D" w:rsidRDefault="00A75C4D" w:rsidP="0050693F">
      <w:pPr>
        <w:pStyle w:val="LGTdoc1"/>
        <w:spacing w:beforeLines="0" w:before="120" w:after="220" w:afterAutospacing="0"/>
        <w:rPr>
          <w:sz w:val="22"/>
          <w:szCs w:val="22"/>
        </w:rPr>
      </w:pPr>
      <w:r w:rsidRPr="00631CCE">
        <w:rPr>
          <w:sz w:val="22"/>
          <w:szCs w:val="22"/>
          <w:u w:val="single"/>
        </w:rPr>
        <w:t>Proposal 2:</w:t>
      </w:r>
      <w:r w:rsidRPr="00A75C4D">
        <w:rPr>
          <w:sz w:val="22"/>
          <w:szCs w:val="22"/>
        </w:rPr>
        <w:t xml:space="preserve"> The following fields are added to the DCI to enable ACK bundling. </w:t>
      </w:r>
    </w:p>
    <w:p w14:paraId="1313F9A4" w14:textId="12EE9962" w:rsidR="00A75C4D" w:rsidRDefault="00A75C4D" w:rsidP="00A75C4D">
      <w:pPr>
        <w:pStyle w:val="LGTdoc1"/>
        <w:numPr>
          <w:ilvl w:val="0"/>
          <w:numId w:val="14"/>
        </w:numPr>
        <w:spacing w:beforeLines="0" w:before="120" w:after="220" w:afterAutospacing="0"/>
        <w:rPr>
          <w:sz w:val="22"/>
          <w:szCs w:val="22"/>
        </w:rPr>
      </w:pPr>
      <w:r>
        <w:rPr>
          <w:sz w:val="22"/>
          <w:szCs w:val="22"/>
        </w:rPr>
        <w:t>Number of PDSCH in the bundle</w:t>
      </w:r>
      <w:r w:rsidR="008A6F71">
        <w:rPr>
          <w:sz w:val="22"/>
          <w:szCs w:val="22"/>
        </w:rPr>
        <w:t xml:space="preserve"> :</w:t>
      </w:r>
      <w:r>
        <w:rPr>
          <w:sz w:val="22"/>
          <w:szCs w:val="22"/>
        </w:rPr>
        <w:t xml:space="preserve"> N</w:t>
      </w:r>
      <w:r w:rsidR="008A6F71" w:rsidRPr="008A6F71">
        <w:rPr>
          <w:rFonts w:ascii="Cambria Math" w:hAnsi="Cambria Math" w:cs="Cambria Math"/>
          <w:color w:val="222222"/>
          <w:shd w:val="clear" w:color="auto" w:fill="FFFFFF"/>
        </w:rPr>
        <w:t xml:space="preserve"> </w:t>
      </w:r>
      <w:r w:rsidR="008A6F71">
        <w:rPr>
          <w:rFonts w:ascii="Cambria Math" w:hAnsi="Cambria Math" w:cs="Cambria Math"/>
          <w:color w:val="222222"/>
          <w:shd w:val="clear" w:color="auto" w:fill="FFFFFF"/>
        </w:rPr>
        <w:t>∈</w:t>
      </w:r>
      <w:r>
        <w:rPr>
          <w:sz w:val="22"/>
          <w:szCs w:val="22"/>
        </w:rPr>
        <w:t xml:space="preserve"> {1,2,3,4}</w:t>
      </w:r>
    </w:p>
    <w:p w14:paraId="37469ACC" w14:textId="62A6C06D" w:rsidR="00A75C4D" w:rsidRDefault="00A75C4D" w:rsidP="00A75C4D">
      <w:pPr>
        <w:pStyle w:val="LGTdoc1"/>
        <w:numPr>
          <w:ilvl w:val="0"/>
          <w:numId w:val="14"/>
        </w:numPr>
        <w:spacing w:beforeLines="0" w:before="120" w:after="220" w:afterAutospacing="0"/>
        <w:rPr>
          <w:sz w:val="22"/>
          <w:szCs w:val="22"/>
        </w:rPr>
      </w:pPr>
      <w:r>
        <w:rPr>
          <w:sz w:val="22"/>
          <w:szCs w:val="22"/>
        </w:rPr>
        <w:t xml:space="preserve">ACK delay indicator  </w:t>
      </w:r>
      <w:r w:rsidR="008A6F71">
        <w:rPr>
          <w:sz w:val="22"/>
          <w:szCs w:val="22"/>
        </w:rPr>
        <w:t xml:space="preserve">: D </w:t>
      </w:r>
      <w:r>
        <w:rPr>
          <w:sz w:val="22"/>
          <w:szCs w:val="22"/>
        </w:rPr>
        <w:t>(either 2 bit or 3 bit)</w:t>
      </w:r>
    </w:p>
    <w:p w14:paraId="569B291E" w14:textId="77777777" w:rsidR="00631CCE" w:rsidRPr="00631CCE" w:rsidRDefault="00631CCE" w:rsidP="00631CCE">
      <w:pPr>
        <w:pStyle w:val="LGTdoc1"/>
        <w:numPr>
          <w:ilvl w:val="1"/>
          <w:numId w:val="14"/>
        </w:numPr>
        <w:spacing w:beforeLines="0" w:before="120" w:after="220" w:afterAutospacing="0"/>
        <w:rPr>
          <w:sz w:val="22"/>
          <w:szCs w:val="22"/>
        </w:rPr>
      </w:pPr>
      <w:r w:rsidRPr="00631CCE">
        <w:rPr>
          <w:sz w:val="22"/>
          <w:szCs w:val="22"/>
        </w:rPr>
        <w:t>Option 1: 3 bits {4,5,6,7,8,9,10,11}</w:t>
      </w:r>
    </w:p>
    <w:p w14:paraId="6A5193AC" w14:textId="4C982630" w:rsidR="00631CCE" w:rsidRPr="00631CCE" w:rsidRDefault="00631CCE" w:rsidP="00631CCE">
      <w:pPr>
        <w:pStyle w:val="LGTdoc1"/>
        <w:numPr>
          <w:ilvl w:val="1"/>
          <w:numId w:val="14"/>
        </w:numPr>
        <w:spacing w:beforeLines="0" w:before="120" w:after="220" w:afterAutospacing="0"/>
        <w:rPr>
          <w:sz w:val="22"/>
          <w:szCs w:val="22"/>
        </w:rPr>
      </w:pPr>
      <w:r w:rsidRPr="00631CCE">
        <w:rPr>
          <w:sz w:val="22"/>
          <w:szCs w:val="22"/>
        </w:rPr>
        <w:t xml:space="preserve">Option 2 : 2 bits {4,6,8,10} which specifies the minimum delay </w:t>
      </w:r>
    </w:p>
    <w:p w14:paraId="02886DF0" w14:textId="731BF34D" w:rsidR="00A75C4D" w:rsidRPr="00A75C4D" w:rsidRDefault="008A6F71" w:rsidP="00A75C4D">
      <w:pPr>
        <w:pStyle w:val="LGTdoc1"/>
        <w:spacing w:beforeLines="0" w:before="120" w:after="220" w:afterAutospacing="0"/>
        <w:rPr>
          <w:sz w:val="22"/>
          <w:szCs w:val="22"/>
        </w:rPr>
      </w:pPr>
      <w:r w:rsidRPr="00631CCE">
        <w:rPr>
          <w:sz w:val="22"/>
          <w:szCs w:val="22"/>
          <w:u w:val="single"/>
        </w:rPr>
        <w:t>Proposal 3:</w:t>
      </w:r>
      <w:r>
        <w:rPr>
          <w:sz w:val="22"/>
          <w:szCs w:val="22"/>
        </w:rPr>
        <w:t xml:space="preserve"> UE sends an ACK on a subframe </w:t>
      </w:r>
      <w:r w:rsidR="00631CCE">
        <w:rPr>
          <w:sz w:val="22"/>
          <w:szCs w:val="22"/>
        </w:rPr>
        <w:t xml:space="preserve">only </w:t>
      </w:r>
      <w:r>
        <w:rPr>
          <w:sz w:val="22"/>
          <w:szCs w:val="22"/>
        </w:rPr>
        <w:t xml:space="preserve">if it detects </w:t>
      </w:r>
      <w:r w:rsidR="00631CCE">
        <w:rPr>
          <w:sz w:val="22"/>
          <w:szCs w:val="22"/>
        </w:rPr>
        <w:t xml:space="preserve">and decodes </w:t>
      </w:r>
      <w:r>
        <w:rPr>
          <w:sz w:val="22"/>
          <w:szCs w:val="22"/>
        </w:rPr>
        <w:t xml:space="preserve">exactly </w:t>
      </w:r>
      <w:r w:rsidR="00631CCE">
        <w:rPr>
          <w:sz w:val="22"/>
          <w:szCs w:val="22"/>
        </w:rPr>
        <w:t>K</w:t>
      </w:r>
      <w:r>
        <w:rPr>
          <w:sz w:val="22"/>
          <w:szCs w:val="22"/>
        </w:rPr>
        <w:t xml:space="preserve"> </w:t>
      </w:r>
      <w:r w:rsidR="00631CCE">
        <w:rPr>
          <w:sz w:val="22"/>
          <w:szCs w:val="22"/>
        </w:rPr>
        <w:t>M</w:t>
      </w:r>
      <w:r>
        <w:rPr>
          <w:sz w:val="22"/>
          <w:szCs w:val="22"/>
        </w:rPr>
        <w:t xml:space="preserve">PDCCH/PDSCHs corresponding to that subframe, where all </w:t>
      </w:r>
      <w:r w:rsidR="00631CCE">
        <w:rPr>
          <w:sz w:val="22"/>
          <w:szCs w:val="22"/>
        </w:rPr>
        <w:t>K</w:t>
      </w:r>
      <w:r>
        <w:rPr>
          <w:sz w:val="22"/>
          <w:szCs w:val="22"/>
        </w:rPr>
        <w:t xml:space="preserve"> </w:t>
      </w:r>
      <w:r w:rsidR="00631CCE">
        <w:rPr>
          <w:sz w:val="22"/>
          <w:szCs w:val="22"/>
        </w:rPr>
        <w:t>M</w:t>
      </w:r>
      <w:r>
        <w:rPr>
          <w:sz w:val="22"/>
          <w:szCs w:val="22"/>
        </w:rPr>
        <w:t xml:space="preserve">PDCCH have the parameter number of PDSCH in bundle N = </w:t>
      </w:r>
      <w:r w:rsidR="00631CCE">
        <w:rPr>
          <w:sz w:val="22"/>
          <w:szCs w:val="22"/>
        </w:rPr>
        <w:t xml:space="preserve">K. </w:t>
      </w:r>
    </w:p>
    <w:p w14:paraId="252C4696" w14:textId="7E1E5E62" w:rsidR="00631CCE" w:rsidRDefault="00631CCE" w:rsidP="00631CCE">
      <w:pPr>
        <w:pStyle w:val="LGTdoc1"/>
        <w:spacing w:beforeLines="0" w:before="120" w:after="220" w:afterAutospacing="0"/>
        <w:rPr>
          <w:b w:val="0"/>
          <w:sz w:val="22"/>
          <w:szCs w:val="22"/>
        </w:rPr>
      </w:pPr>
      <w:r>
        <w:rPr>
          <w:b w:val="0"/>
          <w:sz w:val="22"/>
          <w:szCs w:val="22"/>
        </w:rPr>
        <w:t>T</w:t>
      </w:r>
      <w:r w:rsidRPr="00631CCE">
        <w:rPr>
          <w:b w:val="0"/>
          <w:sz w:val="22"/>
          <w:szCs w:val="22"/>
        </w:rPr>
        <w:t xml:space="preserve">he above design </w:t>
      </w:r>
      <w:r>
        <w:rPr>
          <w:b w:val="0"/>
          <w:sz w:val="22"/>
          <w:szCs w:val="22"/>
        </w:rPr>
        <w:t>does add 4/5 bits to the DC</w:t>
      </w:r>
      <w:r w:rsidR="00DF3A3D">
        <w:rPr>
          <w:b w:val="0"/>
          <w:sz w:val="22"/>
          <w:szCs w:val="22"/>
        </w:rPr>
        <w:t>I</w:t>
      </w:r>
      <w:r>
        <w:rPr>
          <w:b w:val="0"/>
          <w:sz w:val="22"/>
          <w:szCs w:val="22"/>
        </w:rPr>
        <w:t>. However</w:t>
      </w:r>
      <w:r w:rsidR="00542490">
        <w:rPr>
          <w:b w:val="0"/>
          <w:sz w:val="22"/>
          <w:szCs w:val="22"/>
        </w:rPr>
        <w:t>,</w:t>
      </w:r>
      <w:r>
        <w:rPr>
          <w:b w:val="0"/>
          <w:sz w:val="22"/>
          <w:szCs w:val="22"/>
        </w:rPr>
        <w:t xml:space="preserve"> it is simple, </w:t>
      </w:r>
      <w:r w:rsidRPr="00631CCE">
        <w:rPr>
          <w:b w:val="0"/>
          <w:sz w:val="22"/>
          <w:szCs w:val="22"/>
        </w:rPr>
        <w:t>scalab</w:t>
      </w:r>
      <w:r>
        <w:rPr>
          <w:b w:val="0"/>
          <w:sz w:val="22"/>
          <w:szCs w:val="22"/>
        </w:rPr>
        <w:t xml:space="preserve">le, works with repetitions of </w:t>
      </w:r>
      <w:r w:rsidR="005B3973">
        <w:rPr>
          <w:b w:val="0"/>
          <w:sz w:val="22"/>
          <w:szCs w:val="22"/>
        </w:rPr>
        <w:t>M</w:t>
      </w:r>
      <w:r>
        <w:rPr>
          <w:b w:val="0"/>
          <w:sz w:val="22"/>
          <w:szCs w:val="22"/>
        </w:rPr>
        <w:t>PDCCH, PDSCH, PUCCH etc</w:t>
      </w:r>
      <w:r w:rsidR="005B3973">
        <w:rPr>
          <w:b w:val="0"/>
          <w:sz w:val="22"/>
          <w:szCs w:val="22"/>
        </w:rPr>
        <w:t>.,</w:t>
      </w:r>
      <w:r>
        <w:rPr>
          <w:b w:val="0"/>
          <w:sz w:val="22"/>
          <w:szCs w:val="22"/>
        </w:rPr>
        <w:t xml:space="preserve"> is robust to </w:t>
      </w:r>
      <w:r w:rsidR="005B3973">
        <w:rPr>
          <w:b w:val="0"/>
          <w:sz w:val="22"/>
          <w:szCs w:val="22"/>
        </w:rPr>
        <w:t>M</w:t>
      </w:r>
      <w:r>
        <w:rPr>
          <w:b w:val="0"/>
          <w:sz w:val="22"/>
          <w:szCs w:val="22"/>
        </w:rPr>
        <w:t xml:space="preserve">PDCCH erasures, and is very flexible. </w:t>
      </w:r>
      <w:r w:rsidR="005B3973">
        <w:rPr>
          <w:b w:val="0"/>
          <w:sz w:val="22"/>
          <w:szCs w:val="22"/>
        </w:rPr>
        <w:t>These benefits easily outweigh the marginal increase in the DCI size.</w:t>
      </w:r>
      <w:r w:rsidR="00542490">
        <w:rPr>
          <w:b w:val="0"/>
          <w:sz w:val="22"/>
          <w:szCs w:val="22"/>
        </w:rPr>
        <w:t xml:space="preserve"> </w:t>
      </w:r>
    </w:p>
    <w:p w14:paraId="7FEA1C9D" w14:textId="1D0F7720" w:rsidR="00542490" w:rsidRDefault="00542490" w:rsidP="00631CCE">
      <w:pPr>
        <w:pStyle w:val="LGTdoc1"/>
        <w:spacing w:beforeLines="0" w:before="120" w:after="220" w:afterAutospacing="0"/>
        <w:rPr>
          <w:b w:val="0"/>
          <w:sz w:val="22"/>
          <w:szCs w:val="22"/>
        </w:rPr>
      </w:pPr>
      <w:r>
        <w:rPr>
          <w:b w:val="0"/>
          <w:sz w:val="22"/>
          <w:szCs w:val="22"/>
        </w:rPr>
        <w:t>One drawback of the above approach is that the number of PDSCH in the bundle needs to be determined during the first PDSCH transmission itself. If a relaxation is required, we could add a bit that indicates whether the MPDCCH corresponds to the last PDSCH in the bundle and set the number of PDSCH in the bundle to the bundle size only in the last PDSCH in the bundle.</w:t>
      </w:r>
      <w:r w:rsidR="00D054B6">
        <w:rPr>
          <w:b w:val="0"/>
          <w:sz w:val="22"/>
          <w:szCs w:val="22"/>
        </w:rPr>
        <w:t xml:space="preserve"> The delay, bundle size, is last PDSCH in bundle bit, and the MPDCCH/PDSCH repetition factors can be jointly coded to reduce the impact on the DCI size.</w:t>
      </w:r>
    </w:p>
    <w:p w14:paraId="7559D260" w14:textId="77777777" w:rsidR="00DF3A3D" w:rsidRPr="00631CCE" w:rsidRDefault="00DF3A3D" w:rsidP="00631CCE">
      <w:pPr>
        <w:pStyle w:val="LGTdoc1"/>
        <w:spacing w:beforeLines="0" w:before="120" w:after="220" w:afterAutospacing="0"/>
        <w:rPr>
          <w:b w:val="0"/>
          <w:sz w:val="22"/>
          <w:szCs w:val="22"/>
        </w:rPr>
      </w:pPr>
    </w:p>
    <w:p w14:paraId="6098A59C" w14:textId="45F33833" w:rsidR="005B3973" w:rsidRDefault="005B3973" w:rsidP="0097374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Simultaneous reception of multiple UL grant</w:t>
      </w:r>
    </w:p>
    <w:p w14:paraId="2EAF0794" w14:textId="77777777" w:rsidR="005B3973" w:rsidRDefault="005B3973" w:rsidP="005B3973">
      <w:pPr>
        <w:pStyle w:val="LGTdoc1"/>
        <w:spacing w:beforeLines="0" w:before="120" w:after="220" w:afterAutospacing="0"/>
        <w:rPr>
          <w:b w:val="0"/>
          <w:sz w:val="22"/>
          <w:szCs w:val="22"/>
        </w:rPr>
      </w:pPr>
      <w:r>
        <w:rPr>
          <w:b w:val="0"/>
          <w:sz w:val="22"/>
          <w:szCs w:val="22"/>
        </w:rPr>
        <w:t xml:space="preserve">Similar to the ACK bundling, data rate increase in DL and/or UL can be obtained by allowing grants for multiple PUSCH transmissions to be in the same MPDCCH search space. For half duplex UEs, any subframe used for sending the UL grants in MPDCCH reduces the number of available UL subframes.  Additionally, since DL uses cross-subframe scheduling, any subframe being used for MPDCCH for sending UL grants also reduces available resources for sending PDSCH and for sending grants for PDSCH, which may be a limiting factor in low SNR due to the need to use larger aggregation levels. By allowing multiple UL grants to be received simultaneously the eNB can use the extra scheduling flexibility to increase the throughputs in the DL or UL or both. </w:t>
      </w:r>
    </w:p>
    <w:p w14:paraId="0BC27E87" w14:textId="77777777" w:rsidR="005B3973" w:rsidRPr="001C3C83" w:rsidRDefault="005B3973" w:rsidP="005B3973">
      <w:pPr>
        <w:pStyle w:val="LGTdoc1"/>
        <w:spacing w:beforeLines="0" w:before="120" w:after="220" w:afterAutospacing="0"/>
        <w:rPr>
          <w:b w:val="0"/>
          <w:sz w:val="22"/>
          <w:szCs w:val="22"/>
        </w:rPr>
      </w:pPr>
      <w:r>
        <w:rPr>
          <w:b w:val="0"/>
          <w:sz w:val="22"/>
          <w:szCs w:val="22"/>
        </w:rPr>
        <w:t>eMTC operation already allows multiple UL grants to be received in the same MPDCCH search space. However, since the UL timeline is fixed to start at N+4 (for FDD) where N is the last MPDCCH subframe on which the grant was received, it puts significant constraints on the PUSCH transmission and scheduling of corresponding MPDCCH. For example, we cannot send multiple UL grants on the same DL subframe. To mitigate this, we propose to increase the flexibility provided in the specification for sending multiple UL grants in one MPDCCH search space. As before, the multiple UL grants can be sent using separate MPDCCH, one for each grant without increasing the number of blind decoding at the UE. However, new fields, such as the UL assignment index used in TDD, can be added to the DCI payload to offset the multiple PUSCH transmissions on different set of subframes. Alternately, a common MPDCCH that gives multiple UL grants can also be considered.</w:t>
      </w:r>
    </w:p>
    <w:p w14:paraId="6EC24A73" w14:textId="7BB9D8E1" w:rsidR="005B3973" w:rsidRDefault="005B3973" w:rsidP="005B3973">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4</w:t>
      </w:r>
      <w:r w:rsidRPr="0050693F">
        <w:rPr>
          <w:sz w:val="22"/>
          <w:szCs w:val="22"/>
          <w:u w:val="single"/>
        </w:rPr>
        <w:t>:</w:t>
      </w:r>
      <w:r>
        <w:rPr>
          <w:sz w:val="22"/>
          <w:szCs w:val="22"/>
          <w:u w:val="single"/>
        </w:rPr>
        <w:t xml:space="preserve"> </w:t>
      </w:r>
      <w:r>
        <w:rPr>
          <w:sz w:val="22"/>
          <w:szCs w:val="22"/>
        </w:rPr>
        <w:t>Increase flexibility in reception of multiple UL grants in one MPDCCH search space</w:t>
      </w:r>
    </w:p>
    <w:p w14:paraId="23C23B55" w14:textId="77777777" w:rsidR="00DF3A3D" w:rsidRPr="005B3973" w:rsidRDefault="00DF3A3D" w:rsidP="005B3973">
      <w:pPr>
        <w:pStyle w:val="LGTdoc1"/>
        <w:spacing w:beforeLines="0" w:before="120" w:after="220" w:afterAutospacing="0"/>
        <w:rPr>
          <w:sz w:val="22"/>
          <w:szCs w:val="22"/>
        </w:rPr>
      </w:pPr>
    </w:p>
    <w:p w14:paraId="61F75F64" w14:textId="3F9E30AF" w:rsidR="0097374C" w:rsidRDefault="005B3973" w:rsidP="0097374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45B3A3FF" w14:textId="77777777" w:rsidR="005B3973" w:rsidRPr="00A75C4D" w:rsidRDefault="005B3973" w:rsidP="005B3973">
      <w:pPr>
        <w:pStyle w:val="LGTdoc1"/>
        <w:spacing w:beforeLines="0" w:before="120" w:after="220" w:afterAutospacing="0"/>
        <w:rPr>
          <w:sz w:val="22"/>
          <w:szCs w:val="22"/>
        </w:rPr>
      </w:pPr>
      <w:r w:rsidRPr="00A75C4D">
        <w:rPr>
          <w:sz w:val="22"/>
          <w:szCs w:val="22"/>
          <w:u w:val="single"/>
        </w:rPr>
        <w:t>Proposal 1:</w:t>
      </w:r>
      <w:r w:rsidRPr="00A75C4D">
        <w:rPr>
          <w:sz w:val="22"/>
          <w:szCs w:val="22"/>
        </w:rPr>
        <w:t xml:space="preserve"> UE should send ACK only when all PDSCH corresponding to a bundle are decoded. </w:t>
      </w:r>
      <w:r>
        <w:rPr>
          <w:sz w:val="22"/>
          <w:szCs w:val="22"/>
        </w:rPr>
        <w:t>M</w:t>
      </w:r>
      <w:r w:rsidRPr="00A75C4D">
        <w:rPr>
          <w:sz w:val="22"/>
          <w:szCs w:val="22"/>
        </w:rPr>
        <w:t xml:space="preserve">PDCCH erasure </w:t>
      </w:r>
      <w:r>
        <w:rPr>
          <w:sz w:val="22"/>
          <w:szCs w:val="22"/>
        </w:rPr>
        <w:t xml:space="preserve">within a bundle </w:t>
      </w:r>
      <w:r w:rsidRPr="00A75C4D">
        <w:rPr>
          <w:sz w:val="22"/>
          <w:szCs w:val="22"/>
        </w:rPr>
        <w:t>should lead to a NACK</w:t>
      </w:r>
      <w:r>
        <w:rPr>
          <w:sz w:val="22"/>
          <w:szCs w:val="22"/>
        </w:rPr>
        <w:t>.</w:t>
      </w:r>
    </w:p>
    <w:p w14:paraId="6D0047BF" w14:textId="77777777" w:rsidR="005B3973" w:rsidRDefault="005B3973" w:rsidP="005B3973">
      <w:pPr>
        <w:pStyle w:val="LGTdoc1"/>
        <w:spacing w:beforeLines="0" w:before="120" w:after="220" w:afterAutospacing="0"/>
        <w:rPr>
          <w:sz w:val="22"/>
          <w:szCs w:val="22"/>
        </w:rPr>
      </w:pPr>
      <w:r w:rsidRPr="00631CCE">
        <w:rPr>
          <w:sz w:val="22"/>
          <w:szCs w:val="22"/>
          <w:u w:val="single"/>
        </w:rPr>
        <w:t>Proposal 2:</w:t>
      </w:r>
      <w:r w:rsidRPr="00A75C4D">
        <w:rPr>
          <w:sz w:val="22"/>
          <w:szCs w:val="22"/>
        </w:rPr>
        <w:t xml:space="preserve"> The following fields are added to the DCI to enable ACK bundling. </w:t>
      </w:r>
    </w:p>
    <w:p w14:paraId="3ECD6BF0" w14:textId="77777777" w:rsidR="005B3973" w:rsidRDefault="005B3973" w:rsidP="005B3973">
      <w:pPr>
        <w:pStyle w:val="LGTdoc1"/>
        <w:numPr>
          <w:ilvl w:val="0"/>
          <w:numId w:val="14"/>
        </w:numPr>
        <w:spacing w:beforeLines="0" w:before="120" w:after="220" w:afterAutospacing="0"/>
        <w:rPr>
          <w:sz w:val="22"/>
          <w:szCs w:val="22"/>
        </w:rPr>
      </w:pPr>
      <w:r>
        <w:rPr>
          <w:sz w:val="22"/>
          <w:szCs w:val="22"/>
        </w:rPr>
        <w:t>Number of PDSCH in the bundle : N</w:t>
      </w:r>
      <w:r w:rsidRPr="008A6F71">
        <w:rPr>
          <w:rFonts w:ascii="Cambria Math" w:hAnsi="Cambria Math" w:cs="Cambria Math"/>
          <w:color w:val="222222"/>
          <w:shd w:val="clear" w:color="auto" w:fill="FFFFFF"/>
        </w:rPr>
        <w:t xml:space="preserve"> </w:t>
      </w:r>
      <w:r>
        <w:rPr>
          <w:rFonts w:ascii="Cambria Math" w:hAnsi="Cambria Math" w:cs="Cambria Math"/>
          <w:color w:val="222222"/>
          <w:shd w:val="clear" w:color="auto" w:fill="FFFFFF"/>
        </w:rPr>
        <w:t>∈</w:t>
      </w:r>
      <w:r>
        <w:rPr>
          <w:sz w:val="22"/>
          <w:szCs w:val="22"/>
        </w:rPr>
        <w:t xml:space="preserve"> {1,2,3,4}</w:t>
      </w:r>
    </w:p>
    <w:p w14:paraId="69B2B246" w14:textId="77777777" w:rsidR="005B3973" w:rsidRDefault="005B3973" w:rsidP="005B3973">
      <w:pPr>
        <w:pStyle w:val="LGTdoc1"/>
        <w:numPr>
          <w:ilvl w:val="0"/>
          <w:numId w:val="14"/>
        </w:numPr>
        <w:spacing w:beforeLines="0" w:before="120" w:after="220" w:afterAutospacing="0"/>
        <w:rPr>
          <w:sz w:val="22"/>
          <w:szCs w:val="22"/>
        </w:rPr>
      </w:pPr>
      <w:r>
        <w:rPr>
          <w:sz w:val="22"/>
          <w:szCs w:val="22"/>
        </w:rPr>
        <w:t>ACK delay indicator  : D (either 2 bit or 3 bit)</w:t>
      </w:r>
    </w:p>
    <w:p w14:paraId="076E0A57" w14:textId="77777777" w:rsidR="005B3973" w:rsidRPr="00631CCE" w:rsidRDefault="005B3973" w:rsidP="005B3973">
      <w:pPr>
        <w:pStyle w:val="LGTdoc1"/>
        <w:numPr>
          <w:ilvl w:val="1"/>
          <w:numId w:val="14"/>
        </w:numPr>
        <w:spacing w:beforeLines="0" w:before="120" w:after="220" w:afterAutospacing="0"/>
        <w:rPr>
          <w:sz w:val="22"/>
          <w:szCs w:val="22"/>
        </w:rPr>
      </w:pPr>
      <w:r w:rsidRPr="00631CCE">
        <w:rPr>
          <w:sz w:val="22"/>
          <w:szCs w:val="22"/>
        </w:rPr>
        <w:t>Option 1: 3 bits {4,5,6,7,8,9,10,11}</w:t>
      </w:r>
    </w:p>
    <w:p w14:paraId="238F5618" w14:textId="77777777" w:rsidR="005B3973" w:rsidRPr="00631CCE" w:rsidRDefault="005B3973" w:rsidP="005B3973">
      <w:pPr>
        <w:pStyle w:val="LGTdoc1"/>
        <w:numPr>
          <w:ilvl w:val="1"/>
          <w:numId w:val="14"/>
        </w:numPr>
        <w:spacing w:beforeLines="0" w:before="120" w:after="220" w:afterAutospacing="0"/>
        <w:rPr>
          <w:sz w:val="22"/>
          <w:szCs w:val="22"/>
        </w:rPr>
      </w:pPr>
      <w:r w:rsidRPr="00631CCE">
        <w:rPr>
          <w:sz w:val="22"/>
          <w:szCs w:val="22"/>
        </w:rPr>
        <w:t xml:space="preserve">Option 2 : 2 bits {4,6,8,10} which specifies the minimum delay </w:t>
      </w:r>
    </w:p>
    <w:p w14:paraId="4CE689D2" w14:textId="6590B729" w:rsidR="005B3973" w:rsidRPr="00A75C4D" w:rsidRDefault="005B3973" w:rsidP="005B3973">
      <w:pPr>
        <w:pStyle w:val="LGTdoc1"/>
        <w:spacing w:beforeLines="0" w:before="120" w:after="220" w:afterAutospacing="0"/>
        <w:rPr>
          <w:sz w:val="22"/>
          <w:szCs w:val="22"/>
        </w:rPr>
      </w:pPr>
      <w:r w:rsidRPr="00631CCE">
        <w:rPr>
          <w:sz w:val="22"/>
          <w:szCs w:val="22"/>
          <w:u w:val="single"/>
        </w:rPr>
        <w:t>Proposal 3:</w:t>
      </w:r>
      <w:r>
        <w:rPr>
          <w:sz w:val="22"/>
          <w:szCs w:val="22"/>
        </w:rPr>
        <w:t xml:space="preserve"> UE sends an ACK on a subframe only if it detects and decodes exactly K MPDCCH/PDSCHs corresponding to that subframe, where all K MPDCCH have the parameter number of PDSCH in bundle N = K. </w:t>
      </w:r>
    </w:p>
    <w:p w14:paraId="7423B3B9" w14:textId="77777777" w:rsidR="005B3973" w:rsidRPr="005B3973" w:rsidRDefault="005B3973" w:rsidP="005B3973">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4</w:t>
      </w:r>
      <w:r w:rsidRPr="0050693F">
        <w:rPr>
          <w:sz w:val="22"/>
          <w:szCs w:val="22"/>
          <w:u w:val="single"/>
        </w:rPr>
        <w:t>:</w:t>
      </w:r>
      <w:r>
        <w:rPr>
          <w:sz w:val="22"/>
          <w:szCs w:val="22"/>
          <w:u w:val="single"/>
        </w:rPr>
        <w:t xml:space="preserve"> </w:t>
      </w:r>
      <w:r>
        <w:rPr>
          <w:sz w:val="22"/>
          <w:szCs w:val="22"/>
        </w:rPr>
        <w:t>Increase flexibility in reception of multiple UL grants in one MPDCCH search space</w:t>
      </w:r>
    </w:p>
    <w:p w14:paraId="08385664" w14:textId="77777777" w:rsidR="00DF3A3D" w:rsidRDefault="00DF3A3D" w:rsidP="00E77804">
      <w:pPr>
        <w:pStyle w:val="LGTdoc1"/>
        <w:spacing w:beforeLines="0" w:before="120" w:after="220" w:afterAutospacing="0"/>
        <w:rPr>
          <w:rFonts w:ascii="Arial" w:hAnsi="Arial" w:cs="Arial"/>
          <w:lang w:val="en-US"/>
        </w:rPr>
      </w:pPr>
    </w:p>
    <w:p w14:paraId="47A6B625" w14:textId="3D1C781A"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573AF" w14:textId="77777777" w:rsidR="00034E9B" w:rsidRDefault="00034E9B">
      <w:r>
        <w:separator/>
      </w:r>
    </w:p>
  </w:endnote>
  <w:endnote w:type="continuationSeparator" w:id="0">
    <w:p w14:paraId="2D3CAE33" w14:textId="77777777" w:rsidR="00034E9B" w:rsidRDefault="00034E9B">
      <w:r>
        <w:continuationSeparator/>
      </w:r>
    </w:p>
  </w:endnote>
  <w:endnote w:type="continuationNotice" w:id="1">
    <w:p w14:paraId="1D55E31A" w14:textId="77777777" w:rsidR="00034E9B" w:rsidRDefault="00034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F0C5B9C"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4069">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1B967" w14:textId="77777777" w:rsidR="00034E9B" w:rsidRDefault="00034E9B">
      <w:r>
        <w:separator/>
      </w:r>
    </w:p>
  </w:footnote>
  <w:footnote w:type="continuationSeparator" w:id="0">
    <w:p w14:paraId="3CEE1C3D" w14:textId="77777777" w:rsidR="00034E9B" w:rsidRDefault="00034E9B">
      <w:r>
        <w:continuationSeparator/>
      </w:r>
    </w:p>
  </w:footnote>
  <w:footnote w:type="continuationNotice" w:id="1">
    <w:p w14:paraId="3BB44FCB" w14:textId="77777777" w:rsidR="00034E9B" w:rsidRDefault="00034E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2"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2"/>
  </w:num>
  <w:num w:numId="3">
    <w:abstractNumId w:val="8"/>
  </w:num>
  <w:num w:numId="4">
    <w:abstractNumId w:val="13"/>
  </w:num>
  <w:num w:numId="5">
    <w:abstractNumId w:val="14"/>
  </w:num>
  <w:num w:numId="6">
    <w:abstractNumId w:val="1"/>
  </w:num>
  <w:num w:numId="7">
    <w:abstractNumId w:val="15"/>
  </w:num>
  <w:num w:numId="8">
    <w:abstractNumId w:val="11"/>
  </w:num>
  <w:num w:numId="9">
    <w:abstractNumId w:val="9"/>
  </w:num>
  <w:num w:numId="10">
    <w:abstractNumId w:val="10"/>
  </w:num>
  <w:num w:numId="11">
    <w:abstractNumId w:val="7"/>
  </w:num>
  <w:num w:numId="12">
    <w:abstractNumId w:val="6"/>
  </w:num>
  <w:num w:numId="13">
    <w:abstractNumId w:val="0"/>
  </w:num>
  <w:num w:numId="14">
    <w:abstractNumId w:val="4"/>
  </w:num>
  <w:num w:numId="15">
    <w:abstractNumId w:val="3"/>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076B9F3C17354D8087BF82DA6E5991" ma:contentTypeVersion="0" ma:contentTypeDescription="Create a new document." ma:contentTypeScope="" ma:versionID="07527914b13c5141c8249e8cccf8d59f">
  <xsd:schema xmlns:xsd="http://www.w3.org/2001/XMLSchema" xmlns:xs="http://www.w3.org/2001/XMLSchema" xmlns:p="http://schemas.microsoft.com/office/2006/metadata/properties" xmlns:ns2="b4b33aa9-2354-4d53-bed7-232b42d25ff3" targetNamespace="http://schemas.microsoft.com/office/2006/metadata/properties" ma:root="true" ma:fieldsID="da202ef44ba90aa8e0e2e33062479f09" ns2:_="">
    <xsd:import namespace="b4b33aa9-2354-4d53-bed7-232b42d25ff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33aa9-2354-4d53-bed7-232b42d25ff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4b33aa9-2354-4d53-bed7-232b42d25ff3">2M7H2EHAQQQC-511-82</_dlc_DocId>
    <_dlc_DocIdUrl xmlns="b4b33aa9-2354-4d53-bed7-232b42d25ff3">
      <Url>https://sharepoint.qualcomm.com/corp/CorpRD/Seed/NB-IOT/_layouts/15/DocIdRedir.aspx?ID=2M7H2EHAQQQC-511-82</Url>
      <Description>2M7H2EHAQQQC-511-82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9AFEEF6C-C12A-4A23-8C29-D96656697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33aa9-2354-4d53-bed7-232b42d25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b4b33aa9-2354-4d53-bed7-232b42d25ff3"/>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C0E64CA-2B3F-49E0-B5BC-DB10CC458FAD}">
  <ds:schemaRefs>
    <ds:schemaRef ds:uri="http://schemas.openxmlformats.org/officeDocument/2006/bibliography"/>
  </ds:schemaRefs>
</ds:datastoreItem>
</file>

<file path=customXml/itemProps6.xml><?xml version="1.0" encoding="utf-8"?>
<ds:datastoreItem xmlns:ds="http://schemas.openxmlformats.org/officeDocument/2006/customXml" ds:itemID="{244268FA-E2EF-4263-9582-A0C051246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8</cp:revision>
  <cp:lastPrinted>2010-08-13T21:54:00Z</cp:lastPrinted>
  <dcterms:created xsi:type="dcterms:W3CDTF">2017-02-02T09:53:00Z</dcterms:created>
  <dcterms:modified xsi:type="dcterms:W3CDTF">2017-02-03T10:10:00Z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0x010100A6076B9F3C17354D8087BF82DA6E5991</vt:lpwstr>
  </property>
  <property fmtid="{D5CDD505-2E9C-101B-9397-08002B2CF9AE}" pid="3" name="_dlc_DocIdItemGuid">
    <vt:lpwstr>b997070c-45b5-406e-8cbe-e503b15567b3</vt:lpwstr>
  </property>
</Properties>
</file>